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bookmarkStart w:id="0" w:name="_GoBack"/>
      <w:bookmarkEnd w:id="0"/>
      <w:r>
        <w:rPr>
          <w:rFonts w:ascii="Georgia" w:eastAsia="Georgia" w:hAnsi="Georgia" w:cs="Georgia"/>
          <w:b/>
          <w:color w:val="000000"/>
        </w:rPr>
        <w:t>ALLEGATO ALL’AVVISO DI SELEZIONE ALUNNI CORSISTI – PROGETTO PON “AL DI LA DEL PONTE”</w:t>
      </w:r>
    </w:p>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r>
        <w:rPr>
          <w:rFonts w:ascii="Georgia" w:eastAsia="Georgia" w:hAnsi="Georgia" w:cs="Georgia"/>
          <w:b/>
          <w:color w:val="000000"/>
        </w:rPr>
        <w:t>Descrizione dei moduli:</w:t>
      </w:r>
    </w:p>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bookmarkStart w:id="1" w:name="_heading=h.1fob9te" w:colFirst="0" w:colLast="0"/>
      <w:bookmarkEnd w:id="1"/>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0"/>
        <w:gridCol w:w="6883"/>
      </w:tblGrid>
      <w:tr w:rsidR="00515346" w:rsidTr="007C07E4">
        <w:tc>
          <w:tcPr>
            <w:tcW w:w="3460"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1</w:t>
            </w:r>
          </w:p>
        </w:tc>
        <w:tc>
          <w:tcPr>
            <w:tcW w:w="688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English to grow up</w:t>
            </w:r>
          </w:p>
        </w:tc>
      </w:tr>
      <w:tr w:rsidR="00515346" w:rsidTr="007C07E4">
        <w:tc>
          <w:tcPr>
            <w:tcW w:w="3460" w:type="dxa"/>
          </w:tcPr>
          <w:p w:rsidR="00515346" w:rsidRDefault="00515346" w:rsidP="007C07E4">
            <w:pPr>
              <w:pBdr>
                <w:top w:val="nil"/>
                <w:left w:val="nil"/>
                <w:bottom w:val="nil"/>
                <w:right w:val="nil"/>
                <w:between w:val="nil"/>
              </w:pBdr>
              <w:rPr>
                <w:color w:val="000000"/>
                <w:sz w:val="20"/>
                <w:szCs w:val="20"/>
              </w:rPr>
            </w:pPr>
            <w:r>
              <w:rPr>
                <w:rFonts w:ascii="Georgia" w:eastAsia="Georgia" w:hAnsi="Georgia" w:cs="Georgia"/>
                <w:color w:val="000000"/>
              </w:rPr>
              <w:t>Descrizione Modulo</w:t>
            </w:r>
          </w:p>
        </w:tc>
        <w:tc>
          <w:tcPr>
            <w:tcW w:w="6883"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rPr>
              <w:t>La pratica didattica della lingua straniera è più efficace quando si basa su un approccio “comunicativo”, a partire da una situazione, da un contenuto, con obiettivi realistici, motivanti rispetto a interessi, capacità e contesto degli studenti. Il laboratorio individua ambienti di apprendimento che, varcando le mura della scuola o della città, diventano il contesto reale per l’interazione in lingua straniera (incontri nei parchi, nelle biblioteche, nelle comunità virtuali che permettono l’interazione e condivisione di esperienze e di interessi con native speaker della stessa età). Tale approccio sarà seguito anche attraverso la flessibilità nella progettazione didattica a partire dalla diagnosi degli interessi e delle esigenze linguistiche degli studenti.</w:t>
            </w:r>
          </w:p>
        </w:tc>
      </w:tr>
    </w:tbl>
    <w:p w:rsidR="00515346" w:rsidRDefault="00515346" w:rsidP="00515346">
      <w:pPr>
        <w:widowControl w:val="0"/>
        <w:spacing w:after="0"/>
        <w:jc w:val="both"/>
        <w:rPr>
          <w:rFonts w:ascii="Times New Roman" w:eastAsia="Times New Roman" w:hAnsi="Times New Roman" w:cs="Times New Roman"/>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6882"/>
      </w:tblGrid>
      <w:tr w:rsidR="00515346" w:rsidTr="007C07E4">
        <w:tc>
          <w:tcPr>
            <w:tcW w:w="3461"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2</w:t>
            </w:r>
          </w:p>
        </w:tc>
        <w:tc>
          <w:tcPr>
            <w:tcW w:w="6882"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Let's learn more</w:t>
            </w:r>
          </w:p>
        </w:tc>
      </w:tr>
      <w:tr w:rsidR="00515346" w:rsidTr="007C07E4">
        <w:tc>
          <w:tcPr>
            <w:tcW w:w="3461" w:type="dxa"/>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82"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A livello internazionale sono note le potenzialità delle tecnologie digitali per l’apprendimento linguistico. Mobile, social networks, community permettono interazioni con native speaker, attività collaborative di lettura e scrittura sono possibili con blog, wiki ed editor condivisi. A tal proposito diventa necessario promuovere nel laboratorio una didattica in cui l’attuazione dell’approccio comunicativo sia potenziato dal mobile e dal web 2.0. Un giornalino online, una guida della città si possono realizzare collaborativamente grazie agli strumenti citati. L’attività inizierà nel laboratorio e proseguirà in altri spazi fisici e virtuali, ridefinendo e ampliando il concetto di ambiente di apprendimento e modalità di interazione.</w:t>
            </w:r>
          </w:p>
        </w:tc>
      </w:tr>
    </w:tbl>
    <w:p w:rsidR="00515346" w:rsidRDefault="00515346" w:rsidP="00515346">
      <w:pPr>
        <w:widowControl w:val="0"/>
        <w:spacing w:after="0"/>
        <w:jc w:val="both"/>
        <w:rPr>
          <w:rFonts w:ascii="Times New Roman" w:eastAsia="Times New Roman" w:hAnsi="Times New Roman" w:cs="Times New Roman"/>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8"/>
        <w:gridCol w:w="6885"/>
      </w:tblGrid>
      <w:tr w:rsidR="00515346" w:rsidTr="007C07E4">
        <w:tc>
          <w:tcPr>
            <w:tcW w:w="3458"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3</w:t>
            </w:r>
          </w:p>
        </w:tc>
        <w:tc>
          <w:tcPr>
            <w:tcW w:w="6885"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¡Aprendamos más!</w:t>
            </w:r>
          </w:p>
        </w:tc>
      </w:tr>
      <w:tr w:rsidR="00515346" w:rsidTr="007C07E4">
        <w:tc>
          <w:tcPr>
            <w:tcW w:w="3458" w:type="dxa"/>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85"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La pratica didattica della lingua straniera è più efficace quando si basa su un approccio “comunicativo”, a partire da una situazione, da un contenuto, con obiettivi realistici, motivanti rispetto a interessi, capacità e contesto degli studenti. Il laboratorio individua ambienti di apprendimento che, varcando le mura della scuola o della città, diventano il contesto reale per l’interazione in lingua straniera (incontri nei parchi, nelle biblioteche, nelle comunità virtuali che permettono l’interazione e condivisione di esperienze e di interessi con native speaker della stessa età). Tale approccio sarà seguito anche attraverso la flessibilità nella progettazione didattica a partire dalla diagnosi degli interessi e delle esigenze linguistiche degli </w:t>
            </w:r>
            <w:r>
              <w:rPr>
                <w:rFonts w:ascii="Georgia" w:eastAsia="Georgia" w:hAnsi="Georgia" w:cs="Georgia"/>
                <w:color w:val="000000"/>
              </w:rPr>
              <w:lastRenderedPageBreak/>
              <w:t>studenti</w:t>
            </w:r>
          </w:p>
        </w:tc>
      </w:tr>
    </w:tbl>
    <w:p w:rsidR="00515346" w:rsidRDefault="00515346" w:rsidP="00515346">
      <w:pPr>
        <w:widowControl w:val="0"/>
        <w:spacing w:after="0"/>
        <w:jc w:val="both"/>
        <w:rPr>
          <w:rFonts w:ascii="Times New Roman" w:eastAsia="Times New Roman" w:hAnsi="Times New Roman" w:cs="Times New Roman"/>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4</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Maths training</w:t>
            </w:r>
          </w:p>
        </w:tc>
      </w:tr>
      <w:tr w:rsidR="00515346" w:rsidTr="007C07E4">
        <w:tc>
          <w:tcPr>
            <w:tcW w:w="3470" w:type="dxa"/>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Il modulo avrà, tra l'altro, l'obiettivo di favorire la partecipazione degli studenti alle competizioni di carattere specifico matematico-scientifico-tecnologico; 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 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tc>
      </w:tr>
    </w:tbl>
    <w:p w:rsidR="00515346" w:rsidRDefault="00515346" w:rsidP="00515346">
      <w:pPr>
        <w:widowControl w:val="0"/>
        <w:spacing w:after="0"/>
        <w:ind w:left="992" w:hanging="992"/>
        <w:jc w:val="both"/>
        <w:rPr>
          <w:rFonts w:ascii="Times New Roman" w:eastAsia="Times New Roman" w:hAnsi="Times New Roman" w:cs="Times New Roman"/>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5</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Maths for future</w:t>
            </w:r>
          </w:p>
        </w:tc>
      </w:tr>
      <w:tr w:rsidR="00515346" w:rsidTr="007C07E4">
        <w:tc>
          <w:tcPr>
            <w:tcW w:w="3470" w:type="dxa"/>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Il modulo avrà, prioritario, l'obiettivo di favorire la preparazione ai test di ammissione degli studenti all'università con particolare riferimento alle competenze di matematica; 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 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tc>
      </w:tr>
    </w:tbl>
    <w:p w:rsidR="00515346" w:rsidRDefault="00515346" w:rsidP="00515346">
      <w:pPr>
        <w:widowControl w:val="0"/>
        <w:spacing w:after="0"/>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6</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Physics for future</w:t>
            </w:r>
          </w:p>
        </w:tc>
      </w:tr>
      <w:tr w:rsidR="00515346" w:rsidTr="007C07E4">
        <w:tc>
          <w:tcPr>
            <w:tcW w:w="3470" w:type="dxa"/>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Il modulo avrà, prioritario, l'obiettivo di favorire la preparazione ai test di ammissione degli studenti all'università con particolare riferimento alle competenze di Fisica; il percorso di apprendimento più efficace, che sarà utilizzato per il potenziamento, non è di </w:t>
            </w:r>
            <w:r>
              <w:rPr>
                <w:rFonts w:ascii="Georgia" w:eastAsia="Georgia" w:hAnsi="Georgia" w:cs="Georgia"/>
                <w:color w:val="000000"/>
              </w:rPr>
              <w:lastRenderedPageBreak/>
              <w:t>carattere deduttivo, dalla legge all’esemplificazione, ma induttivo: partendo da problemi reali e dal contesto quotidiano si evidenziano quegli elementi utili e si avvia una riflessione per arrivare alla generalizzazione e ad un modello matematico. Il laboratorio si 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tc>
      </w:tr>
    </w:tbl>
    <w:p w:rsidR="00515346" w:rsidRDefault="00515346" w:rsidP="00515346">
      <w:pPr>
        <w:widowControl w:val="0"/>
        <w:spacing w:after="0"/>
        <w:ind w:left="992" w:hanging="992"/>
        <w:jc w:val="both"/>
        <w:rPr>
          <w:rFonts w:ascii="Times New Roman" w:eastAsia="Times New Roman" w:hAnsi="Times New Roman" w:cs="Times New Roman"/>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2"/>
        <w:gridCol w:w="6881"/>
      </w:tblGrid>
      <w:tr w:rsidR="00515346" w:rsidTr="007C07E4">
        <w:tc>
          <w:tcPr>
            <w:tcW w:w="3462" w:type="dxa"/>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7</w:t>
            </w:r>
          </w:p>
        </w:tc>
        <w:tc>
          <w:tcPr>
            <w:tcW w:w="6881"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Sciences for future</w:t>
            </w:r>
          </w:p>
        </w:tc>
      </w:tr>
      <w:tr w:rsidR="00515346" w:rsidTr="007C07E4">
        <w:tc>
          <w:tcPr>
            <w:tcW w:w="3462" w:type="dxa"/>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81" w:type="dxa"/>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Il modulo avrà, prioritario, l'obiettivo di favorire la preparazione ai test di ammissione degli studenti all'università con particolare riferimento alle competenze di Scienze; le STEM vanno nella direzione di un approccio integrato alle discipline di ambito scientifico. Nel laboratorio si offre agli alunni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il docente per concludere con una nuova domanda di ricerca.</w:t>
            </w:r>
          </w:p>
        </w:tc>
      </w:tr>
    </w:tbl>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Borders>
              <w:bottom w:val="single" w:sz="4" w:space="0" w:color="000000"/>
            </w:tcBorders>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8</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A scuola di coding</w:t>
            </w:r>
          </w:p>
        </w:tc>
      </w:tr>
      <w:tr w:rsidR="00515346" w:rsidTr="007C07E4">
        <w:tc>
          <w:tcPr>
            <w:tcW w:w="3470" w:type="dxa"/>
            <w:tcBorders>
              <w:right w:val="single" w:sz="4" w:space="0" w:color="000000"/>
            </w:tcBorders>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tcBorders>
              <w:left w:val="single" w:sz="4" w:space="0" w:color="000000"/>
            </w:tcBorders>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Il pensiero computazionale, il coding e la robotica educativa costituiscono una priorità per l’aggiornamento del curricolo sia nel primo che nel secondo ciclo di istruzione. Il laboratorio sarà dedicato all’apprendimento dei principi di base della programmazione con l’utilizzo di strumenti e kit robotici.</w:t>
            </w:r>
          </w:p>
        </w:tc>
      </w:tr>
    </w:tbl>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Borders>
              <w:bottom w:val="single" w:sz="4" w:space="0" w:color="000000"/>
            </w:tcBorders>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9</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Digital media for working</w:t>
            </w:r>
          </w:p>
        </w:tc>
      </w:tr>
      <w:tr w:rsidR="00515346" w:rsidTr="007C07E4">
        <w:tc>
          <w:tcPr>
            <w:tcW w:w="3470" w:type="dxa"/>
            <w:tcBorders>
              <w:right w:val="single" w:sz="4" w:space="0" w:color="000000"/>
            </w:tcBorders>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tcBorders>
              <w:left w:val="single" w:sz="4" w:space="0" w:color="000000"/>
            </w:tcBorders>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Educazione alla comprensione, fruizione ed uso consapevole dei media, soprattutto in riferimento alle dinamiche sociali e comportamentali sono le finalità del laboratorio, che approfondirà le caratteristiche specifiche dei media e degli intermediari digitali, della capacità di gestire una identità online e offline con integrità, delle caratteristiche della socialità in rete, della gestione dei conflitti su social network. Attraverso esempi operativi, basati sul corretto uso dello strumento, gli studenti apprendono strategie comportamentali per prevenire e gestire i rischi online. Gli studenti imparano inoltre ad utilizzare gli strumenti offerti dalle suite di office automation.</w:t>
            </w:r>
          </w:p>
        </w:tc>
      </w:tr>
      <w:tr w:rsidR="00515346" w:rsidTr="007C07E4">
        <w:tc>
          <w:tcPr>
            <w:tcW w:w="3470" w:type="dxa"/>
            <w:tcBorders>
              <w:bottom w:val="single" w:sz="4" w:space="0" w:color="000000"/>
            </w:tcBorders>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lastRenderedPageBreak/>
              <w:t>Titolo del Modulo 10</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A scuola di CAD</w:t>
            </w:r>
          </w:p>
        </w:tc>
      </w:tr>
      <w:tr w:rsidR="00515346" w:rsidTr="007C07E4">
        <w:tc>
          <w:tcPr>
            <w:tcW w:w="3470" w:type="dxa"/>
            <w:tcBorders>
              <w:right w:val="single" w:sz="4" w:space="0" w:color="000000"/>
            </w:tcBorders>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tcBorders>
              <w:left w:val="single" w:sz="4" w:space="0" w:color="000000"/>
            </w:tcBorders>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Un aspetto centrale della pedagogia del tinkering è l'idea di un “projectory” ovvero di “progetto” e “traiettoria”. Il percorso laboratoriale si basa su esplorazione e sperimentazione con l’utilizzo di strumenti di fablab. Facendo uso di vari materiali e strumenti, gli studenti sono incoraggiati a realizzare progetti attraverso i quali si sviluppano le abilità come la creatività, la comunicazione e lavoro di gruppo, inventando soluzioni e mettendo alla prova le loro creazioni, anche per divertirsi, con lo sviluppo delle attività di manipolazione, e strumenti per il making (stampanti 3d), attraverso l'uso del Computer Aided Design.</w:t>
            </w:r>
          </w:p>
        </w:tc>
      </w:tr>
    </w:tbl>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Borders>
              <w:bottom w:val="single" w:sz="4" w:space="0" w:color="000000"/>
            </w:tcBorders>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11</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Insieme per un mondo nuovo</w:t>
            </w:r>
          </w:p>
        </w:tc>
      </w:tr>
      <w:tr w:rsidR="00515346" w:rsidTr="007C07E4">
        <w:tc>
          <w:tcPr>
            <w:tcW w:w="3470" w:type="dxa"/>
            <w:tcBorders>
              <w:right w:val="single" w:sz="4" w:space="0" w:color="000000"/>
            </w:tcBorders>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tcBorders>
              <w:left w:val="single" w:sz="4" w:space="0" w:color="000000"/>
            </w:tcBorders>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Il Service Learning è una proposta pedagogica che unisce il Service (la cittadinanza attiva, le azioni solidali, l’impegno in favore della comunità) con il Learning (lo sviluppo di competenze tanto sociali quanto, e soprattutto, disciplinari), affinché gli allievi possano sviluppare le proprie conoscenze e competenze attraverso un servizio solidale alla comunità. Le attività didattiche partono da situazioni problematiche reali e fanno sì che gli studenti siano parte attiva nel processo di apprendimento. La metodologia promuove l’ideazione di percorsi di apprendimento (learning) finalizzati alla realizzazione di un servizio (service), che soddisfi un bisogno vero e sentito sul territorio. Le iniziative intraprese prevedono sempre una stretta collaborazione con le istituzioni locali e puntano a stabilire un circolo virtuoso tra apprendimento in aula e servizio solidale. Le attività di Service Learning sono funzionali all’innalzamento dei livelli di competenza, al miglioramento dell’autostima, della motivazione allo studio, della partecipazione alle attività scolastiche e favoriscono l’acquisizione di comportamenti pro-sociali e di cittadinanza attiva.</w:t>
            </w:r>
          </w:p>
        </w:tc>
      </w:tr>
    </w:tbl>
    <w:p w:rsidR="00515346" w:rsidRDefault="00515346" w:rsidP="00515346">
      <w:pPr>
        <w:widowControl w:val="0"/>
        <w:pBdr>
          <w:top w:val="nil"/>
          <w:left w:val="nil"/>
          <w:bottom w:val="nil"/>
          <w:right w:val="nil"/>
          <w:between w:val="nil"/>
        </w:pBdr>
        <w:spacing w:after="0" w:line="240" w:lineRule="auto"/>
        <w:jc w:val="center"/>
        <w:rPr>
          <w:rFonts w:ascii="Georgia" w:eastAsia="Georgia" w:hAnsi="Georgia" w:cs="Georgia"/>
          <w:b/>
          <w:color w:val="00000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873"/>
      </w:tblGrid>
      <w:tr w:rsidR="00515346" w:rsidTr="007C07E4">
        <w:tc>
          <w:tcPr>
            <w:tcW w:w="3470" w:type="dxa"/>
            <w:tcBorders>
              <w:bottom w:val="single" w:sz="4" w:space="0" w:color="000000"/>
            </w:tcBorders>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Titolo del Modulo 12</w:t>
            </w:r>
          </w:p>
        </w:tc>
        <w:tc>
          <w:tcPr>
            <w:tcW w:w="6873" w:type="dxa"/>
            <w:vAlign w:val="center"/>
          </w:tcPr>
          <w:p w:rsidR="00515346" w:rsidRDefault="00515346" w:rsidP="007C07E4">
            <w:pPr>
              <w:pBdr>
                <w:top w:val="nil"/>
                <w:left w:val="nil"/>
                <w:bottom w:val="nil"/>
                <w:right w:val="nil"/>
                <w:between w:val="nil"/>
              </w:pBdr>
              <w:rPr>
                <w:rFonts w:ascii="Georgia" w:eastAsia="Georgia" w:hAnsi="Georgia" w:cs="Georgia"/>
                <w:b/>
                <w:color w:val="000000"/>
              </w:rPr>
            </w:pPr>
            <w:r>
              <w:rPr>
                <w:rFonts w:ascii="Georgia" w:eastAsia="Georgia" w:hAnsi="Georgia" w:cs="Georgia"/>
                <w:b/>
                <w:color w:val="000000"/>
              </w:rPr>
              <w:t>Diventa Atleta con la tua Scuola</w:t>
            </w:r>
          </w:p>
        </w:tc>
      </w:tr>
      <w:tr w:rsidR="00515346" w:rsidTr="007C07E4">
        <w:tc>
          <w:tcPr>
            <w:tcW w:w="3470" w:type="dxa"/>
            <w:tcBorders>
              <w:right w:val="single" w:sz="4" w:space="0" w:color="000000"/>
            </w:tcBorders>
          </w:tcPr>
          <w:p w:rsidR="00515346" w:rsidRDefault="00515346" w:rsidP="007C07E4">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Descrizione Modulo</w:t>
            </w:r>
          </w:p>
        </w:tc>
        <w:tc>
          <w:tcPr>
            <w:tcW w:w="6873" w:type="dxa"/>
            <w:tcBorders>
              <w:left w:val="single" w:sz="4" w:space="0" w:color="000000"/>
            </w:tcBorders>
            <w:vAlign w:val="center"/>
          </w:tcPr>
          <w:p w:rsidR="00515346" w:rsidRDefault="00515346" w:rsidP="007C07E4">
            <w:p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L’impatto che l’attività sportiva ha sui giovani è ampiamente sottovalutato e lo è ancora di più se si considerano gli effetti positivi, in termini di riabilitazione e recupero della socializzazione, che l’attività sportiva svolge sulle persone disabili e in condizione di svantaggio sociale. Per quanto possibile, le attività saranno a contatto con l’ambiente naturale. La proposta didattica, che sarà svolta nel rispetto delle norme anti-Covid, intende favorire attraverso le pratiche motorie e sportive il miglioramento del livello di socializzazione, la riduzione dello stress e dell’ansia attraverso il movimento corporeo, favorire la percezione dell’altro, insegnando a leggere i movimenti degli avversari, a comprenderne le intenzioni e a regolarsi di conseguenza. In ogni caso, nella scelta dello sport è </w:t>
            </w:r>
            <w:r>
              <w:rPr>
                <w:rFonts w:ascii="Georgia" w:eastAsia="Georgia" w:hAnsi="Georgia" w:cs="Georgia"/>
                <w:color w:val="000000"/>
              </w:rPr>
              <w:lastRenderedPageBreak/>
              <w:t>necessario iniziare dagli interessi del bambino o dell’adolescente.</w:t>
            </w:r>
          </w:p>
        </w:tc>
      </w:tr>
    </w:tbl>
    <w:p w:rsidR="0017231F" w:rsidRDefault="0017231F"/>
    <w:sectPr w:rsidR="001723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46"/>
    <w:rsid w:val="0017231F"/>
    <w:rsid w:val="00515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15346"/>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15346"/>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Marconi</dc:creator>
  <cp:lastModifiedBy>Marconi</cp:lastModifiedBy>
  <cp:revision>1</cp:revision>
  <dcterms:created xsi:type="dcterms:W3CDTF">2021-09-23T10:48:00Z</dcterms:created>
  <dcterms:modified xsi:type="dcterms:W3CDTF">2021-09-23T10:50:00Z</dcterms:modified>
</cp:coreProperties>
</file>